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i/>
        </w:rPr>
        <w:t xml:space="preserve">Appendices to </w:t>
      </w:r>
      <w:r>
        <w:rPr>
          <w:i/>
        </w:rPr>
        <w:t>LUX.guru</w:t>
      </w:r>
    </w:p>
    <w:p>
      <w:pPr>
        <w:jc w:val="center"/>
      </w:pPr>
      <w:r>
        <w:rPr>
          <w:rFonts w:ascii="Aptos" w:hAnsi="Aptos"/>
          <w:color w:val="6E4E2E"/>
          <w:sz w:val="26"/>
        </w:rPr>
        <w:t>A Canonical Addendum for the Unified Numinal Monograph</w:t>
      </w:r>
    </w:p>
    <w:p>
      <w:pPr>
        <w:jc w:val="center"/>
      </w:pPr>
      <w:r>
        <w:rPr>
          <w:rFonts w:ascii="Georgia" w:hAnsi="Georgia"/>
          <w:color w:val="464646"/>
          <w:sz w:val="22"/>
        </w:rPr>
        <w:t>John Goodhelm</w:t>
      </w:r>
    </w:p>
    <w:p>
      <w:pPr>
        <w:jc w:val="center"/>
      </w:pPr>
      <w:r>
        <w:rPr>
          <w:rFonts w:ascii="Aptos" w:hAnsi="Aptos"/>
          <w:color w:val="464646"/>
          <w:sz w:val="19"/>
        </w:rPr>
        <w:t>Index and appendix treatment of the authoritative HVCF projection layers</w:t>
      </w:r>
    </w:p>
    <w:p>
      <w:pPr>
        <w:jc w:val="center"/>
      </w:pPr>
      <w:r>
        <w:rPr>
          <w:rFonts w:ascii="Aptos" w:hAnsi="Aptos"/>
          <w:color w:val="464646"/>
          <w:sz w:val="19"/>
        </w:rPr>
        <w:t>Prepared as an addendum volume for the LUX.guru monograph</w:t>
      </w:r>
    </w:p>
    <w:p/>
    <w:p>
      <w:pPr>
        <w:pStyle w:val="Callout"/>
        <w:jc w:val="center"/>
      </w:pPr>
      <w:r>
        <w:t>Governing rule: HVCF-7 remains the primary projection layer; HVCF-12 extends, stabilizes, and operationalizes the canon without overwriting it.</w:t>
      </w:r>
    </w:p>
    <w:p>
      <w:r>
        <w:br w:type="page"/>
      </w:r>
    </w:p>
    <w:p>
      <w:pPr>
        <w:pStyle w:val="Heading1"/>
        <w:keepNext/>
      </w:pPr>
      <w:r>
        <w:t>Master Index</w:t>
      </w:r>
    </w:p>
    <w:p>
      <w:r>
        <w:rPr>
          <w:b/>
        </w:rPr>
        <w:t xml:space="preserve">Purpose. </w:t>
      </w:r>
      <w:r>
        <w:t>This addendum indexes the authoritative HVCF projection layers used across the LUX.guru corpus and supplies a concise appendix treatment for each layer so the monograph can maintain clear inheritance, stable terminology, and low symbol drift.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152"/>
        <w:gridCol w:w="3312"/>
        <w:gridCol w:w="2232"/>
        <w:gridCol w:w="3816"/>
      </w:tblGrid>
      <w:tr>
        <w:tc>
          <w:tcPr>
            <w:tcW w:type="dxa" w:w="2448"/>
            <w:shd w:fill="E9E1D8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sz w:val="18"/>
              </w:rPr>
              <w:t>App.</w:t>
            </w:r>
          </w:p>
        </w:tc>
        <w:tc>
          <w:tcPr>
            <w:tcW w:type="dxa" w:w="2448"/>
            <w:shd w:fill="E9E1D8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sz w:val="18"/>
              </w:rPr>
              <w:t>Layer</w:t>
            </w:r>
          </w:p>
        </w:tc>
        <w:tc>
          <w:tcPr>
            <w:tcW w:type="dxa" w:w="2448"/>
            <w:shd w:fill="E9E1D8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sz w:val="18"/>
              </w:rPr>
              <w:t>Domain</w:t>
            </w:r>
          </w:p>
        </w:tc>
        <w:tc>
          <w:tcPr>
            <w:tcW w:type="dxa" w:w="2448"/>
            <w:shd w:fill="E9E1D8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sz w:val="18"/>
              </w:rPr>
              <w:t>Primary use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A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Formal Coordinate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Ontology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Root grammar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B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Planetary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Symbolic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Planetary correspondence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C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Endocrine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Embodiment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Physiological embodiment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D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Seal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Symbolic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Initiatory order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E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Tonal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Symbolic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Sound and harmonic keying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F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Gem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Symbolic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Gem stabilizer language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G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Crozier-Geometric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Geometry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Canonical visual geometry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H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Toroidal Cosmogram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Cosmogram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Nested toroidal reading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I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Christic Hologram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Theology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Christic centering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J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Contemplative Practice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Practice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Prayer and discipline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K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Biofield / Embodiment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Embodiment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Somatic coherence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L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Architectural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Architecture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Spatial doctrine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M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Material / Substrate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Materials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Artifact implementation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N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Tensor-Network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Formal analytics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Coupled systems modeling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O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Organizational / Governance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Governance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Institutional stewardship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P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Civilizational / Goodhelm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Civilization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Cultural scaling</w:t>
            </w:r>
          </w:p>
        </w:tc>
      </w:tr>
      <w:tr>
        <w:tc>
          <w:tcPr>
            <w:tcW w:type="dxa" w:w="11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center"/>
            </w:pPr>
            <w:r>
              <w:rPr>
                <w:rFonts w:ascii="Aptos" w:hAnsi="Aptos"/>
                <w:sz w:val="18"/>
              </w:rPr>
              <w:t>Q</w:t>
            </w:r>
          </w:p>
        </w:tc>
        <w:tc>
          <w:tcPr>
            <w:tcW w:type="dxa" w:w="331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Media / Ritual / Cultural Layer</w:t>
            </w:r>
          </w:p>
        </w:tc>
        <w:tc>
          <w:tcPr>
            <w:tcW w:type="dxa" w:w="223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Media &amp; ritual</w:t>
            </w:r>
          </w:p>
        </w:tc>
        <w:tc>
          <w:tcPr>
            <w:tcW w:type="dxa" w:w="3816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F8F4EF"/>
          </w:tcPr>
          <w:p>
            <w:pPr>
              <w:jc w:val="left"/>
            </w:pPr>
            <w:r>
              <w:rPr>
                <w:rFonts w:ascii="Georgia" w:hAnsi="Georgia"/>
                <w:sz w:val="18"/>
              </w:rPr>
              <w:t>Transmission and rite</w:t>
            </w:r>
          </w:p>
        </w:tc>
      </w:tr>
    </w:tbl>
    <w:p/>
    <w:p>
      <w:pPr>
        <w:pStyle w:val="Heading2"/>
      </w:pPr>
      <w:r>
        <w:t>Canonical inheritance rules</w:t>
      </w:r>
    </w:p>
    <w:p>
      <w:pPr>
        <w:spacing w:after="80"/>
        <w:ind w:left="288"/>
      </w:pPr>
      <w:r>
        <w:rPr>
          <w:b/>
        </w:rPr>
        <w:t xml:space="preserve">• </w:t>
      </w:r>
      <w:r>
        <w:t>Every projection layer is derivative from the formal coordinate layer and may not replace canonical meaning.</w:t>
      </w:r>
    </w:p>
    <w:p>
      <w:pPr>
        <w:spacing w:after="80"/>
        <w:ind w:left="288"/>
      </w:pPr>
      <w:r>
        <w:rPr>
          <w:b/>
        </w:rPr>
        <w:t xml:space="preserve">• </w:t>
      </w:r>
      <w:r>
        <w:t>HVCF-7 names the primary ascent grammar; HVCF-12 adds governance, boundary, execution, dependence, and coupling extensions.</w:t>
      </w:r>
    </w:p>
    <w:p>
      <w:pPr>
        <w:spacing w:after="80"/>
        <w:ind w:left="288"/>
      </w:pPr>
      <w:r>
        <w:rPr>
          <w:b/>
        </w:rPr>
        <w:t xml:space="preserve">• </w:t>
      </w:r>
      <w:r>
        <w:t>Planetary, endocrine, seal, tonal, and gem mappings are correspondence layers, not independent ontologies.</w:t>
      </w:r>
    </w:p>
    <w:p>
      <w:pPr>
        <w:spacing w:after="80"/>
        <w:ind w:left="288"/>
      </w:pPr>
      <w:r>
        <w:rPr>
          <w:b/>
        </w:rPr>
        <w:t xml:space="preserve">• </w:t>
      </w:r>
      <w:r>
        <w:t>Applied layers - architecture, materials, governance, media, civilization - must keep the Christic center and the crozier/toroidal ordering intact.</w:t>
      </w:r>
    </w:p>
    <w:p>
      <w:pPr>
        <w:spacing w:after="80"/>
        <w:ind w:left="288"/>
      </w:pPr>
      <w:r>
        <w:rPr>
          <w:b/>
        </w:rPr>
        <w:t xml:space="preserve">• </w:t>
      </w:r>
      <w:r>
        <w:t>Where a projection is speculative or analogical, it should be presented as such and not overstated as settled empirical proof.</w:t>
      </w:r>
    </w:p>
    <w:p>
      <w:r>
        <w:br w:type="page"/>
      </w:r>
    </w:p>
    <w:p>
      <w:pPr>
        <w:pStyle w:val="SmallCapsLabel"/>
        <w:keepNext/>
      </w:pPr>
      <w:r>
        <w:t>Appendix A</w:t>
      </w:r>
    </w:p>
    <w:p>
      <w:pPr>
        <w:pStyle w:val="Heading1"/>
        <w:keepNext/>
      </w:pPr>
      <w:r>
        <w:t>Formal Coordinate Layer</w:t>
      </w:r>
    </w:p>
    <w:p>
      <w:pPr>
        <w:pStyle w:val="Callout"/>
      </w:pPr>
      <w:r>
        <w:t>Root canonical grammar for every other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The irreducible HVCF manifold. It is the root grammar from which every lawful projection inherits meaning.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r, theta, phi, tau, psi, chi, Phi; with HVCF-12 extending by kappa, lambda, mu, nu, xi.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Provides the coordinate basis for coherence, recursion, phase, spinor orientation, fractal depth, and scalar integration. It prevents later symbolic mappings from becoming free-floating metaphor.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Mathematical manifold; systems state vector; coherence grammar; canonical inheritance base.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No downstream layer may overwrite coordinate meaning. Every interpretation is a projection, not a replacement.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Formal definitions, scoring tools, system diagnostics, tensor formulations, protocol design.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All other appendices inherit from this one.</w:t>
      </w:r>
    </w:p>
    <w:p>
      <w:r>
        <w:br w:type="page"/>
      </w:r>
    </w:p>
    <w:p>
      <w:pPr>
        <w:pStyle w:val="SmallCapsLabel"/>
        <w:keepNext/>
      </w:pPr>
      <w:r>
        <w:t>Appendix B</w:t>
      </w:r>
    </w:p>
    <w:p>
      <w:pPr>
        <w:pStyle w:val="Heading1"/>
        <w:keepNext/>
      </w:pPr>
      <w:r>
        <w:t>Planetary Layer</w:t>
      </w:r>
    </w:p>
    <w:p>
      <w:pPr>
        <w:pStyle w:val="Callout"/>
      </w:pPr>
      <w:r>
        <w:t>Cosmographic correspondence layer for the sevenfold ascent.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Maps the sevenfold ascent into the planetary ladder used across the LUX.guru corpus.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Saturn, Neptune, Mars, Venus, Uranus, Jupiter, Mercury.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Gives cosmographic legibility and a memorable symbolic order for ascent, differentiation, amplification, and closure.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Planetary correspondence; dimensional focal points; celestial analogy; cosmographic teaching tool.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The planets are not the ontology itself; they are stable correspondences of the canonical field.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Crozier plates, cosmology diagrams, teaching charts, liturgical and cinematic symbol systems.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Must preserve the canonical station order and may not scramble the sevenfold ascent.</w:t>
      </w:r>
    </w:p>
    <w:p>
      <w:r>
        <w:br w:type="page"/>
      </w:r>
    </w:p>
    <w:p>
      <w:pPr>
        <w:pStyle w:val="SmallCapsLabel"/>
        <w:keepNext/>
      </w:pPr>
      <w:r>
        <w:t>Appendix C</w:t>
      </w:r>
    </w:p>
    <w:p>
      <w:pPr>
        <w:pStyle w:val="Heading1"/>
        <w:keepNext/>
      </w:pPr>
      <w:r>
        <w:t>Endocrine Layer</w:t>
      </w:r>
    </w:p>
    <w:p>
      <w:pPr>
        <w:pStyle w:val="Callout"/>
      </w:pPr>
      <w:r>
        <w:t>Embodied physiology layer for coherent practice.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Projects the field into embodied anatomy through the glandular ladder.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Seven endocrine stations in ascending revelatory order.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Connects cosmology to embodiment so HVCF can be read through physiology, discipline, breath, prayer, and psycho-somatic coherence.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Embodied practice; biofield coherence; anatomical correspondence; contemplative physiology.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This layer is interpretive and regulatory, not a substitute for medical diagnosis or treatment.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Revelation Yoga, biofield protocols, contemplative anatomy, posture and breath architectures.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Should remain in service of embodied coherence and disciplined practice.</w:t>
      </w:r>
    </w:p>
    <w:p>
      <w:r>
        <w:br w:type="page"/>
      </w:r>
    </w:p>
    <w:p>
      <w:pPr>
        <w:pStyle w:val="SmallCapsLabel"/>
        <w:keepNext/>
      </w:pPr>
      <w:r>
        <w:t>Appendix D</w:t>
      </w:r>
    </w:p>
    <w:p>
      <w:pPr>
        <w:pStyle w:val="Heading1"/>
        <w:keepNext/>
      </w:pPr>
      <w:r>
        <w:t>Seal Layer</w:t>
      </w:r>
    </w:p>
    <w:p>
      <w:pPr>
        <w:pStyle w:val="Callout"/>
      </w:pPr>
      <w:r>
        <w:t>Initiatory and revelatory sequence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Maps the ascent into an initiatory sequence using the seal ordering drawn from the LUX.guru revelatory canon.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Seven seals or seven churches as ordered thresholds of awakening.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Supplies sacred narrative sequence, helping the reader understand the ascent as lawful unveiling rather than arbitrary symbolism.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Initiatory order; revelation sequence; theological pedagogy; sacred ascent.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The seal pattern must preserve order. It may deepen reading but may not scramble the underlying sevenfold ladder.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Monograph exegesis, lectures, iconography, spiritual formation modules.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May deepen theology, but only while preserving sequence and ascent order.</w:t>
      </w:r>
    </w:p>
    <w:p>
      <w:r>
        <w:br w:type="page"/>
      </w:r>
    </w:p>
    <w:p>
      <w:pPr>
        <w:pStyle w:val="SmallCapsLabel"/>
        <w:keepNext/>
      </w:pPr>
      <w:r>
        <w:t>Appendix E</w:t>
      </w:r>
    </w:p>
    <w:p>
      <w:pPr>
        <w:pStyle w:val="Heading1"/>
        <w:keepNext/>
      </w:pPr>
      <w:r>
        <w:t>Tonal Layer</w:t>
      </w:r>
    </w:p>
    <w:p>
      <w:pPr>
        <w:pStyle w:val="Callout"/>
      </w:pPr>
      <w:r>
        <w:t>Sound-key and harmonic ascent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Projects HVCF stations into tone, pitch relation, and harmonic ascent.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Seven musical tones or ordered interval keys associated with the field.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Allows coherence to be taught and enacted through sound, chant, composition, and entrainment.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Harmonic keying; pedagogical music layer; resonance notation; sonic ascent.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Tone is a harmonic witness to the field, not an excuse to collapse the system into music theory alone.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Chant structures, theme music, sonic rituals, entrainment programs, scoring systems.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Useful for enactment and pedagogy when aligned to canonical order.</w:t>
      </w:r>
    </w:p>
    <w:p>
      <w:r>
        <w:br w:type="page"/>
      </w:r>
    </w:p>
    <w:p>
      <w:pPr>
        <w:pStyle w:val="SmallCapsLabel"/>
        <w:keepNext/>
      </w:pPr>
      <w:r>
        <w:t>Appendix F</w:t>
      </w:r>
    </w:p>
    <w:p>
      <w:pPr>
        <w:pStyle w:val="Heading1"/>
        <w:keepNext/>
      </w:pPr>
      <w:r>
        <w:t>Gem Layer</w:t>
      </w:r>
    </w:p>
    <w:p>
      <w:pPr>
        <w:pStyle w:val="Callout"/>
      </w:pPr>
      <w:r>
        <w:t>Material-symbolic stabilizer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Assigns vibrational stabilizers to stations through gem correspondence.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Gem analogues such as amethyst, sapphire, ruby, and related canonical stones.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Gives material-symbolic density to the system and supports the LUX.guru doctrine of orderly vibrational supports.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Symbolic gem canon; design vocabulary; ritual and environmental stabilizer language.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Gem language remains supportive and analogical; it should not replace theological, formal, or physiological foundations.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Object design, armor concepts, sacred art, room treatments, visual doctrine plates.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Best treated as supportive symbolic-material language rather than a standalone doctrine.</w:t>
      </w:r>
    </w:p>
    <w:p>
      <w:r>
        <w:br w:type="page"/>
      </w:r>
    </w:p>
    <w:p>
      <w:pPr>
        <w:pStyle w:val="SmallCapsLabel"/>
        <w:keepNext/>
      </w:pPr>
      <w:r>
        <w:t>Appendix G</w:t>
      </w:r>
    </w:p>
    <w:p>
      <w:pPr>
        <w:pStyle w:val="Heading1"/>
        <w:keepNext/>
      </w:pPr>
      <w:r>
        <w:t>Crozier-Geometric Layer</w:t>
      </w:r>
    </w:p>
    <w:p>
      <w:pPr>
        <w:pStyle w:val="Callout"/>
      </w:pPr>
      <w:r>
        <w:t>Authoritative visual and compositional rendering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Renders the field as the shepherd's crook: ascent, bend, crown-return, closure.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Shaft, bend, crown arc, indexed stations, ascending non-orthogonal path.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Provides the most recognizable visual canon for the seven-node order and stabilizes composition across diagrams, paintings, and architecture.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Compositional geometry; iconographic standard; ascent map; crowned return.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The crozier is a canonical rendering rule. It should keep visual implementations consistent and prevent symbol drift.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Codex plates, relief panels, pavilion plans, title motifs, diagram standards.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Functions as the principal anti-drift visual standard.</w:t>
      </w:r>
    </w:p>
    <w:p>
      <w:r>
        <w:br w:type="page"/>
      </w:r>
    </w:p>
    <w:p>
      <w:pPr>
        <w:pStyle w:val="SmallCapsLabel"/>
        <w:keepNext/>
      </w:pPr>
      <w:r>
        <w:t>Appendix H</w:t>
      </w:r>
    </w:p>
    <w:p>
      <w:pPr>
        <w:pStyle w:val="Heading1"/>
        <w:keepNext/>
      </w:pPr>
      <w:r>
        <w:t>Toroidal Cosmogram Layer</w:t>
      </w:r>
    </w:p>
    <w:p>
      <w:pPr>
        <w:pStyle w:val="Callout"/>
      </w:pPr>
      <w:r>
        <w:t>Nested torus and return-flow cosmogram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Reads the field through toroidal recursion, implosion, circulation, and return.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Inner torus, outer shell, nested circulation, center of emergence, closure through return flow.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Unifies HVCF with the broader toroidal theology and TTG material by showing how coherence arises through circulating wholeness rather than linear stacking alone.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Nested torus; recursion field; cosmogram; volumetric circulation model.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Toroidal language must remain aligned to the seven-axis spine and twelve-axis shell, not become a generic vortex metaphor.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Master cosmology plates, nested-shell diagrams, pavilion and cathedral geometry, process maps.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Complements the crozier by supplying volumetric recursion and closure logic.</w:t>
      </w:r>
    </w:p>
    <w:p>
      <w:r>
        <w:br w:type="page"/>
      </w:r>
    </w:p>
    <w:p>
      <w:pPr>
        <w:pStyle w:val="SmallCapsLabel"/>
        <w:keepNext/>
      </w:pPr>
      <w:r>
        <w:t>Appendix I</w:t>
      </w:r>
    </w:p>
    <w:p>
      <w:pPr>
        <w:pStyle w:val="Heading1"/>
        <w:keepNext/>
      </w:pPr>
      <w:r>
        <w:t>Christic Hologram Layer</w:t>
      </w:r>
    </w:p>
    <w:p>
      <w:pPr>
        <w:pStyle w:val="Callout"/>
      </w:pPr>
      <w:r>
        <w:t>Theological centering layer governed by Logos and wholeness.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Interprets maximal coherence as alignment to Christic order, Logos, truth, charity, and life-giving wholeness.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Logos attractor, Christic coherence, holographic wholeness, scalar completion.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Centers the entire work in theological orientation so the field is not merely technical but spiritually ordered.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Christic anthropology; theological systems reading; moral coherence; sacred hologram.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This layer governs interpretive direction. Technical excellence without Christic order is incomplete within the monograph.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Doctrinal framing, ministry writing, ritual language, culture formation, ethics.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Provides interpretive center for the whole addendum.</w:t>
      </w:r>
    </w:p>
    <w:p>
      <w:r>
        <w:br w:type="page"/>
      </w:r>
    </w:p>
    <w:p>
      <w:pPr>
        <w:pStyle w:val="SmallCapsLabel"/>
        <w:keepNext/>
      </w:pPr>
      <w:r>
        <w:t>Appendix J</w:t>
      </w:r>
    </w:p>
    <w:p>
      <w:pPr>
        <w:pStyle w:val="Heading1"/>
        <w:keepNext/>
      </w:pPr>
      <w:r>
        <w:t>Contemplative Practice Layer</w:t>
      </w:r>
    </w:p>
    <w:p>
      <w:pPr>
        <w:pStyle w:val="Callout"/>
      </w:pPr>
      <w:r>
        <w:t>Prayerful and ascetical implementation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Turns the field into a usable sequence of prayer, attention, discipline, and interior training.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Attention, alignment, ascent, return, stabilization, recursive examination.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Makes the canon actionable in daily life and devotional formation.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Prayer protocol; contemplative discipline; ascetical progression; meditation architecture.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Practice must inherit canonical meaning rather than improvising disconnected exercises.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Daily liturgies, guided contemplations, ritual flows, private rule-of-life structures.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Operational without severing from the canonical grammar.</w:t>
      </w:r>
    </w:p>
    <w:p>
      <w:r>
        <w:br w:type="page"/>
      </w:r>
    </w:p>
    <w:p>
      <w:pPr>
        <w:pStyle w:val="SmallCapsLabel"/>
        <w:keepNext/>
      </w:pPr>
      <w:r>
        <w:t>Appendix K</w:t>
      </w:r>
    </w:p>
    <w:p>
      <w:pPr>
        <w:pStyle w:val="Heading1"/>
        <w:keepNext/>
      </w:pPr>
      <w:r>
        <w:t>Biofield / Embodiment Layer</w:t>
      </w:r>
    </w:p>
    <w:p>
      <w:pPr>
        <w:pStyle w:val="Callout"/>
      </w:pPr>
      <w:r>
        <w:t>Somatic and energetic regulation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Applies HVCF to somatic regulation, neural rhythm, energetic organization, and embodied coherence.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Breath, posture, rhythm, endocrine resonance, coherence state, embodied signal order.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Bridges inner doctrine to lived bodily experience and supports the Goodhelm and Enlightened Athletics lines of application.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Embodied regulation; performance coherence; wellness discipline; physiological analogy.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Embodiment serves spiritual and systemic order; it should not be reduced to wellness branding or detached optimization.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Training protocols, movement systems, environmental design, recovery routines, performance liturgies.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Extends practice into performance and regulation, without reductionism.</w:t>
      </w:r>
    </w:p>
    <w:p>
      <w:r>
        <w:br w:type="page"/>
      </w:r>
    </w:p>
    <w:p>
      <w:pPr>
        <w:pStyle w:val="SmallCapsLabel"/>
        <w:keepNext/>
      </w:pPr>
      <w:r>
        <w:t>Appendix L</w:t>
      </w:r>
    </w:p>
    <w:p>
      <w:pPr>
        <w:pStyle w:val="Heading1"/>
        <w:keepNext/>
      </w:pPr>
      <w:r>
        <w:t>Architectural Layer</w:t>
      </w:r>
    </w:p>
    <w:p>
      <w:pPr>
        <w:pStyle w:val="Callout"/>
      </w:pPr>
      <w:r>
        <w:t>Spatial and built-environment projection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Projects the field into building order, procession, light strategy, acoustics, and spatial hierarchy.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Threshold, nave-like ascent, crown chamber, procession line, node-chamber relation.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Allows LUX.guru to express doctrine in space so buildings become coherence instruments rather than neutral containers.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Sacred architecture; pavilion geometry; room-sequence design; atmospheric doctrine.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Architecture must preserve canonical ascent and return logic, not merely use symbolic decoration.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Pavilions, cathedrals, studios, sanctuaries, retreat spaces, exhibit environments.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Converts doctrine into procession, threshold, chamber, and luminous order.</w:t>
      </w:r>
    </w:p>
    <w:p>
      <w:r>
        <w:br w:type="page"/>
      </w:r>
    </w:p>
    <w:p>
      <w:pPr>
        <w:pStyle w:val="SmallCapsLabel"/>
        <w:keepNext/>
      </w:pPr>
      <w:r>
        <w:t>Appendix M</w:t>
      </w:r>
    </w:p>
    <w:p>
      <w:pPr>
        <w:pStyle w:val="Heading1"/>
        <w:keepNext/>
      </w:pPr>
      <w:r>
        <w:t>Material / Substrate Layer</w:t>
      </w:r>
    </w:p>
    <w:p>
      <w:pPr>
        <w:pStyle w:val="Callout"/>
      </w:pPr>
      <w:r>
        <w:t>Matter, shell, and implementation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Maps HVCF into matter, laminates, photonic substrates, shells, alloys, and other coherence-active materials.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Layered shell, substrate memory, quasicrystal support, conductive weave, light-active laminate.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Enables the passage from doctrine into engineered artifact without discarding symbolic inheritance.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Materials canon; engineered substrate; shell architecture; implementation layer.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Material innovation remains subordinate to canonical order and must not claim unsupported scientific certainty.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Armor concepts, wall systems, pavilion skins, photonic surfaces, branded artifact development.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Carries symbolic inheritance into engineered matter and artifact.</w:t>
      </w:r>
    </w:p>
    <w:p>
      <w:r>
        <w:br w:type="page"/>
      </w:r>
    </w:p>
    <w:p>
      <w:pPr>
        <w:pStyle w:val="SmallCapsLabel"/>
        <w:keepNext/>
      </w:pPr>
      <w:r>
        <w:t>Appendix N</w:t>
      </w:r>
    </w:p>
    <w:p>
      <w:pPr>
        <w:pStyle w:val="Heading1"/>
        <w:keepNext/>
      </w:pPr>
      <w:r>
        <w:t>Tensor-Network Layer</w:t>
      </w:r>
    </w:p>
    <w:p>
      <w:pPr>
        <w:pStyle w:val="Callout"/>
      </w:pPr>
      <w:r>
        <w:t>Coupled-relation and formal analytics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Treats the field as coupled factors and relational dependencies rather than a flat sequence.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Coupling, factorization, dependency graph, recursive linkage, manifold interaction.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Supports advanced formalization, simulation, scoring, and systems analysis while remaining faithful to the canonical base vector.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Formal systems model; networked manifold; analytic extension; computation aid.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Tensor language must clarify relations, not obscure the monograph beneath technical display.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Scoring models, system maps, software logic, experimental formulations, scenario analysis.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Clarifies complex coupling while remaining subordinate to the canon.</w:t>
      </w:r>
    </w:p>
    <w:p>
      <w:r>
        <w:br w:type="page"/>
      </w:r>
    </w:p>
    <w:p>
      <w:pPr>
        <w:pStyle w:val="SmallCapsLabel"/>
        <w:keepNext/>
      </w:pPr>
      <w:r>
        <w:t>Appendix O</w:t>
      </w:r>
    </w:p>
    <w:p>
      <w:pPr>
        <w:pStyle w:val="Heading1"/>
        <w:keepNext/>
      </w:pPr>
      <w:r>
        <w:t>Organizational / Governance Layer</w:t>
      </w:r>
    </w:p>
    <w:p>
      <w:pPr>
        <w:pStyle w:val="Callout"/>
      </w:pPr>
      <w:r>
        <w:t>Institutional stewardship and execution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Extends HVCF into stewardship, execution, governance, interdependence, and institutional health.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Governance, boundary, execution, coupling, dependence, structural resilience.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Makes the canon usable for firms, ministries, schools, and coordinated operations.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Operating model; diagnostic grid; stewardship framework; coherence governance.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Institutional projections may interpret the field but may not replace the Christic and canonical center with mere efficiency.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Organizational diagnosis, strategic planning, team design, field manuals, governance reviews.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Operationalizes the field for institutions without replacing the Christic center.</w:t>
      </w:r>
    </w:p>
    <w:p>
      <w:r>
        <w:br w:type="page"/>
      </w:r>
    </w:p>
    <w:p>
      <w:pPr>
        <w:pStyle w:val="SmallCapsLabel"/>
        <w:keepNext/>
      </w:pPr>
      <w:r>
        <w:t>Appendix P</w:t>
      </w:r>
    </w:p>
    <w:p>
      <w:pPr>
        <w:pStyle w:val="Heading1"/>
        <w:keepNext/>
      </w:pPr>
      <w:r>
        <w:t>Civilizational / Goodhelm Layer</w:t>
      </w:r>
    </w:p>
    <w:p>
      <w:pPr>
        <w:pStyle w:val="Callout"/>
      </w:pPr>
      <w:r>
        <w:t>Settlement, culture, and long-range ecosystem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Scales the field beyond the individual or organization into settlement, culture, public works, and durable order.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Civilizational shell, commons, cultural memory, distributed stewardship, long-horizon coherence.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Allows LUX.guru to speak not only to persons and products but to whole ecosystems of life and order.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Cultural design; retreat ecology; civic field; long-range coherence strategy.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Civilizational ambition must remain anchored to service, beauty, and lawful wholeness rather than grandiosity.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Goodhelm ecosystem planning, retreat campuses, media ecosystems, educational and social design.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Scales the field to long-horizon culture and ecosystem design.</w:t>
      </w:r>
    </w:p>
    <w:p>
      <w:r>
        <w:br w:type="page"/>
      </w:r>
    </w:p>
    <w:p>
      <w:pPr>
        <w:pStyle w:val="SmallCapsLabel"/>
        <w:keepNext/>
      </w:pPr>
      <w:r>
        <w:t>Appendix Q</w:t>
      </w:r>
    </w:p>
    <w:p>
      <w:pPr>
        <w:pStyle w:val="Heading1"/>
        <w:keepNext/>
      </w:pPr>
      <w:r>
        <w:t>Media / Ritual / Cultural Layer</w:t>
      </w:r>
    </w:p>
    <w:p>
      <w:pPr>
        <w:pStyle w:val="Callout"/>
      </w:pPr>
      <w:r>
        <w:t>Narrative, rite, and transmission layer.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2"/>
        <w:gridCol w:w="7128"/>
      </w:tblGrid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Canonical role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Projects HVCF into image, sequence, rite, narrative pacing, and cultural transmission.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Primary symbols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Invocation, rise, intensification, synchronization, climax, benediction, return.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Function in the monograph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Provides a repeatable grammar for film, lectures, liturgy, title sequences, brand media, and public-facing symbolic works.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Allowed readings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Cinematic field; ritual structure; cultural pedagogy; transmission architecture.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Doctrinal guardrail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Aesthetic power must remain in service of truth and coherence; spectacle alone is insufficient.</w:t>
            </w:r>
          </w:p>
        </w:tc>
      </w:tr>
      <w:tr>
        <w:tc>
          <w:tcPr>
            <w:tcW w:type="dxa" w:w="2592"/>
            <w:shd w:fill="EFE7DE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jc w:val="left"/>
            </w:pPr>
            <w:r>
              <w:rPr>
                <w:rFonts w:ascii="Aptos" w:hAnsi="Aptos"/>
                <w:b/>
                <w:sz w:val="18"/>
              </w:rPr>
              <w:t>Typical applications</w:t>
            </w:r>
          </w:p>
        </w:tc>
        <w:tc>
          <w:tcPr>
            <w:tcW w:type="dxa" w:w="7128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left"/>
            </w:pPr>
            <w:r>
              <w:rPr>
                <w:rFonts w:ascii="Georgia" w:hAnsi="Georgia"/>
                <w:sz w:val="20"/>
              </w:rPr>
              <w:t>Film structure, title design, presentation systems, liturgical choreography, cultural campaigns.</w:t>
            </w:r>
          </w:p>
        </w:tc>
      </w:tr>
    </w:tbl>
    <w:p/>
    <w:p>
      <w:pPr>
        <w:pStyle w:val="Heading2"/>
      </w:pPr>
      <w:r>
        <w:t>Inheritance note</w:t>
      </w:r>
    </w:p>
    <w:p>
      <w:pPr>
        <w:spacing w:after="120"/>
      </w:pPr>
      <w:r>
        <w:t>Transmits the field publicly through image, rite, sequence, and cadence.</w:t>
      </w:r>
    </w:p>
    <w:p>
      <w:r>
        <w:br w:type="page"/>
      </w:r>
    </w:p>
    <w:p>
      <w:pPr>
        <w:pStyle w:val="Heading1"/>
      </w:pPr>
      <w:r>
        <w:t>Closing note</w:t>
      </w:r>
    </w:p>
    <w:p>
      <w:r>
        <w:t>These appendices are designed to function as a stable addendum to the LUX.guru monograph. Together they provide a disciplined naming system, a shared inheritance logic, and a repeatable reference frame for future doctrines, diagrams, products, architectures, and cultural works.</w:t>
      </w:r>
    </w:p>
    <w:sectPr w:rsidR="00FC693F" w:rsidRPr="0006063C" w:rsidSect="00034616">
      <w:footerReference w:type="default" r:id="rId9"/>
      <w:pgSz w:w="12240" w:h="15840"/>
      <w:pgMar w:top="1152" w:right="1224" w:bottom="1008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787878"/>
        <w:sz w:val="16"/>
      </w:rPr>
      <w:t xml:space="preserve">LUX.guru Addendum - </w:t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 w:eastAsia="Georgi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4C2F1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6E4E2E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4B4B4B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b/>
      <w:color w:val="4C2F1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 w:eastAsia="Aptos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CapsLabel">
    <w:name w:val="SmallCapsLabel"/>
    <w:rPr>
      <w:rFonts w:ascii="Aptos" w:hAnsi="Aptos" w:eastAsia="Aptos"/>
      <w:smallCaps/>
      <w:color w:val="786650"/>
      <w:sz w:val="17"/>
    </w:rPr>
  </w:style>
  <w:style w:type="paragraph" w:customStyle="1" w:styleId="Callout">
    <w:name w:val="Callout"/>
    <w:rPr>
      <w:rFonts w:ascii="Georgia" w:hAnsi="Georgia" w:eastAsia="Georgia"/>
      <w:i/>
      <w:color w:val="46464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