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Lux"/>
        <w:jc w:val="center"/>
      </w:pPr>
      <w:r>
        <w:rPr>
          <w:smallCaps/>
        </w:rPr>
        <w:t>LUX.guru</w:t>
      </w:r>
    </w:p>
    <w:p>
      <w:pPr>
        <w:pStyle w:val="SubtitleLux"/>
        <w:jc w:val="center"/>
      </w:pPr>
      <w:r>
        <w:t>Corrected HVCF Master Grimoire Addendum</w:t>
        <w:br/>
      </w:r>
      <w:r>
        <w:t>Project-Level Extrapolations and Implementation Layers</w:t>
        <w:br/>
      </w:r>
      <w:r>
        <w:t>John Goodhelm</w:t>
      </w:r>
    </w:p>
    <w:p>
      <w:pPr>
        <w:pStyle w:val="SmallCapsNote"/>
        <w:jc w:val="center"/>
      </w:pPr>
      <w:r>
        <w:t>Prepared as a canon-stable companion to the unified monograph and projection-layer appendices.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072"/>
            <w:shd w:fill="F3F0E8"/>
            <w:tcMar>
              <w:top w:w="120" w:type="dxa"/>
              <w:start w:w="140" w:type="dxa"/>
              <w:bottom w:w="120" w:type="dxa"/>
              <w:end w:w="140" w:type="dxa"/>
            </w:tcMar>
            <w:vAlign w:val="center"/>
          </w:tcPr>
          <w:p>
            <w:pPr/>
            <w:r>
              <w:rPr>
                <w:b/>
              </w:rPr>
              <w:t xml:space="preserve">Purpose. </w:t>
            </w:r>
            <w:r>
              <w:t>This addendum corrects the prior HVCF master-grimoire draft where it diverged from the stabilized monograph, then reorganizes the more speculative material as project-level extrapolations and implementation layers. HVCF-7 remains the primary projection layer; HVCF-12 remains the systems-extension layer for governance-capable diagnosis. Planetary-endocrine correspondences are normalized to the uploaded crozier canon.</w:t>
            </w:r>
          </w:p>
        </w:tc>
      </w:tr>
    </w:tbl>
    <w:p/>
    <w:p>
      <w:pPr>
        <w:pStyle w:val="SectionLux"/>
      </w:pPr>
      <w:r>
        <w:t>I. Canonical Corrections</w:t>
      </w:r>
    </w:p>
    <w:p>
      <w:r>
        <w:t>The corrected constitutional rule is simple: HVCF-7 is the seven-axis coordinate grammar that stabilizes all downstream symbolic, practical, and design inheritances; HVCF-12 is the twelve-axis extension that adds systems-grade variables for dependence, boundary, execution, governance, and inter-system coupling.</w:t>
      </w:r>
    </w:p>
    <w:p>
      <w:pPr>
        <w:pStyle w:val="SubsectionLux"/>
      </w:pPr>
      <w:r>
        <w:t>A. Corrected HVCF-7 / HVCF-12 state definition</w:t>
      </w:r>
    </w:p>
    <w:p>
      <w:r>
        <w:t>Use the following formal objects as the canon-stable baseline for all future LUX.guru elaborations.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rPr>
          <w:tblHeader w:val="true"/>
        </w:trPr>
        <w:tc>
          <w:tcPr>
            <w:tcW w:type="dxa" w:w="2160"/>
            <w:shd w:fill="D9E2F3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</w:rPr>
              <w:t>Object</w:t>
            </w:r>
          </w:p>
        </w:tc>
        <w:tc>
          <w:tcPr>
            <w:tcW w:type="dxa" w:w="3168"/>
            <w:shd w:fill="D9E2F3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</w:rPr>
              <w:t>Expression</w:t>
            </w:r>
          </w:p>
        </w:tc>
        <w:tc>
          <w:tcPr>
            <w:tcW w:type="dxa" w:w="4320"/>
            <w:shd w:fill="D9E2F3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</w:rPr>
              <w:t>Canonical role</w:t>
            </w:r>
          </w:p>
        </w:tc>
      </w:tr>
      <w:tr>
        <w:tc>
          <w:tcPr>
            <w:tcW w:type="dxa" w:w="2160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HVCF-7</w:t>
            </w:r>
          </w:p>
        </w:tc>
        <w:tc>
          <w:tcPr>
            <w:tcW w:type="dxa" w:w="31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Ψ₇ = (r, θ, φ, τ, ψ, χ, Φ)</w:t>
            </w:r>
          </w:p>
        </w:tc>
        <w:tc>
          <w:tcPr>
            <w:tcW w:type="dxa" w:w="4320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Primary projection layer; formal coordinate grammar for geometry, recursion, orientation, nesting, and coherence.</w:t>
            </w:r>
          </w:p>
        </w:tc>
      </w:tr>
      <w:tr>
        <w:tc>
          <w:tcPr>
            <w:tcW w:type="dxa" w:w="2160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HVCF-12</w:t>
            </w:r>
          </w:p>
        </w:tc>
        <w:tc>
          <w:tcPr>
            <w:tcW w:type="dxa" w:w="31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Ψ₁₂ = (r, θ, φ, τ, ψ, χ, Φ, κ, λ, μ, ν, ξ)</w:t>
            </w:r>
          </w:p>
        </w:tc>
        <w:tc>
          <w:tcPr>
            <w:tcW w:type="dxa" w:w="4320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t>Governance-capable extension adding dependence, boundary, execution, governance, and coupling structure.</w:t>
            </w:r>
          </w:p>
        </w:tc>
      </w:tr>
    </w:tbl>
    <w:p/>
    <w:p>
      <w:pPr>
        <w:pStyle w:val="SubsectionLux"/>
      </w:pPr>
      <w:r>
        <w:t>B. Corrected HVCF-12 support-axis meanings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rPr>
          <w:tblHeader w:val="true"/>
        </w:trPr>
        <w:tc>
          <w:tcPr>
            <w:tcW w:type="dxa" w:w="1152"/>
            <w:shd w:fill="E2F0D9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</w:rPr>
              <w:t>Axis</w:t>
            </w:r>
          </w:p>
        </w:tc>
        <w:tc>
          <w:tcPr>
            <w:tcW w:type="dxa" w:w="2880"/>
            <w:shd w:fill="E2F0D9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</w:rPr>
              <w:t>Canonical meaning</w:t>
            </w:r>
          </w:p>
        </w:tc>
        <w:tc>
          <w:tcPr>
            <w:tcW w:type="dxa" w:w="5616"/>
            <w:shd w:fill="E2F0D9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</w:rPr>
              <w:t>Operational question</w:t>
            </w:r>
          </w:p>
        </w:tc>
      </w:tr>
      <w:tr>
        <w:tc>
          <w:tcPr>
            <w:tcW w:type="dxa" w:w="1152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κ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Counterparty or external dependence</w:t>
            </w:r>
          </w:p>
        </w:tc>
        <w:tc>
          <w:tcPr>
            <w:tcW w:type="dxa" w:w="561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What outside dependencies can destabilize the field?</w:t>
            </w:r>
          </w:p>
        </w:tc>
      </w:tr>
      <w:tr>
        <w:tc>
          <w:tcPr>
            <w:tcW w:type="dxa" w:w="1152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λ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Boundary and legal constraint</w:t>
            </w:r>
          </w:p>
        </w:tc>
        <w:tc>
          <w:tcPr>
            <w:tcW w:type="dxa" w:w="561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What constraints define the allowable manifold?</w:t>
            </w:r>
          </w:p>
        </w:tc>
      </w:tr>
      <w:tr>
        <w:tc>
          <w:tcPr>
            <w:tcW w:type="dxa" w:w="1152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μ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Operational execution integrity</w:t>
            </w:r>
          </w:p>
        </w:tc>
        <w:tc>
          <w:tcPr>
            <w:tcW w:type="dxa" w:w="561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Can the system actually do what it claims?</w:t>
            </w:r>
          </w:p>
        </w:tc>
      </w:tr>
      <w:tr>
        <w:tc>
          <w:tcPr>
            <w:tcW w:type="dxa" w:w="1152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ν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Governance coherence</w:t>
            </w:r>
          </w:p>
        </w:tc>
        <w:tc>
          <w:tcPr>
            <w:tcW w:type="dxa" w:w="561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Are decision rights and oversight ordered?</w:t>
            </w:r>
          </w:p>
        </w:tc>
      </w:tr>
      <w:tr>
        <w:tc>
          <w:tcPr>
            <w:tcW w:type="dxa" w:w="1152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ξ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Inter-system coupling / contagion</w:t>
            </w:r>
          </w:p>
        </w:tc>
        <w:tc>
          <w:tcPr>
            <w:tcW w:type="dxa" w:w="561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How does stress propagate across links?</w:t>
            </w:r>
          </w:p>
        </w:tc>
      </w:tr>
    </w:tbl>
    <w:p>
      <w:pPr>
        <w:pStyle w:val="SmallCapsNote"/>
      </w:pPr>
      <w:r>
        <w:t>Note: geometry-heavy readings such as curvature, wavelength, medium, frequency, distortion, or crown restitution may still be used, but only as derived support readings inside a separate projection layer. They should not replace the monograph’s stabilized definitions for κ through ξ.</w:t>
      </w:r>
    </w:p>
    <w:p>
      <w:pPr>
        <w:pStyle w:val="SubsectionLux"/>
      </w:pPr>
      <w:r>
        <w:t>C. Normalized planetary-endocrine crozier ladder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tblHeader w:val="true"/>
        </w:trPr>
        <w:tc>
          <w:tcPr>
            <w:tcW w:type="dxa" w:w="792"/>
            <w:shd w:fill="FCE4D6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r>
              <w:rPr>
                <w:b/>
              </w:rPr>
              <w:t>#</w:t>
            </w:r>
          </w:p>
        </w:tc>
        <w:tc>
          <w:tcPr>
            <w:tcW w:type="dxa" w:w="1440"/>
            <w:shd w:fill="FCE4D6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r>
              <w:rPr>
                <w:b/>
              </w:rPr>
              <w:t>Planet</w:t>
            </w:r>
          </w:p>
        </w:tc>
        <w:tc>
          <w:tcPr>
            <w:tcW w:type="dxa" w:w="1440"/>
            <w:shd w:fill="FCE4D6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r>
              <w:rPr>
                <w:b/>
              </w:rPr>
              <w:t>Seal</w:t>
            </w:r>
          </w:p>
        </w:tc>
        <w:tc>
          <w:tcPr>
            <w:tcW w:type="dxa" w:w="2376"/>
            <w:shd w:fill="FCE4D6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r>
              <w:rPr>
                <w:b/>
              </w:rPr>
              <w:t>Embodied gate</w:t>
            </w:r>
          </w:p>
        </w:tc>
        <w:tc>
          <w:tcPr>
            <w:tcW w:type="dxa" w:w="792"/>
            <w:shd w:fill="FCE4D6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r>
              <w:rPr>
                <w:b/>
              </w:rPr>
              <w:t>Tone</w:t>
            </w:r>
          </w:p>
        </w:tc>
        <w:tc>
          <w:tcPr>
            <w:tcW w:type="dxa" w:w="1368"/>
            <w:shd w:fill="FCE4D6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r>
              <w:rPr>
                <w:b/>
              </w:rPr>
              <w:t>Gem</w:t>
            </w:r>
          </w:p>
        </w:tc>
        <w:tc>
          <w:tcPr>
            <w:tcW w:type="dxa" w:w="2376"/>
            <w:shd w:fill="FCE4D6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r>
              <w:rPr>
                <w:b/>
              </w:rPr>
              <w:t>Canonical function</w:t>
            </w:r>
          </w:p>
        </w:tc>
      </w:tr>
      <w:tr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1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Saturn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Ephesus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Gonads</w:t>
            </w:r>
          </w:p>
        </w:tc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DO</w:t>
            </w:r>
          </w:p>
        </w:tc>
        <w:tc>
          <w:tcPr>
            <w:tcW w:type="dxa" w:w="1368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Ruby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Compression / root initiation</w:t>
            </w:r>
          </w:p>
        </w:tc>
      </w:tr>
      <w:tr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2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Neptune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Smyrna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Leydig regenerative gate</w:t>
            </w:r>
          </w:p>
        </w:tc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RE</w:t>
            </w:r>
          </w:p>
        </w:tc>
        <w:tc>
          <w:tcPr>
            <w:tcW w:type="dxa" w:w="1368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Citrine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Propagation / fluid regenerative movement</w:t>
            </w:r>
          </w:p>
        </w:tc>
      </w:tr>
      <w:tr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3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Mars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Pergamos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Adrenals</w:t>
            </w:r>
          </w:p>
        </w:tc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MI</w:t>
            </w:r>
          </w:p>
        </w:tc>
        <w:tc>
          <w:tcPr>
            <w:tcW w:type="dxa" w:w="1368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Topaz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Interaction / testing / courageous action</w:t>
            </w:r>
          </w:p>
        </w:tc>
      </w:tr>
      <w:tr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4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Venus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Thyatira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Thymus</w:t>
            </w:r>
          </w:p>
        </w:tc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FA</w:t>
            </w:r>
          </w:p>
        </w:tc>
        <w:tc>
          <w:tcPr>
            <w:tcW w:type="dxa" w:w="1368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Emerald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Coherence / love-pattern stabilization</w:t>
            </w:r>
          </w:p>
        </w:tc>
      </w:tr>
      <w:tr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5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Uranus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Sardis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Thyroid</w:t>
            </w:r>
          </w:p>
        </w:tc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SO</w:t>
            </w:r>
          </w:p>
        </w:tc>
        <w:tc>
          <w:tcPr>
            <w:tcW w:type="dxa" w:w="1368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Sapphire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Differentiation / articulation / creative Logos</w:t>
            </w:r>
          </w:p>
        </w:tc>
      </w:tr>
      <w:tr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6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Jupiter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Philadelphia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Pineal</w:t>
            </w:r>
          </w:p>
        </w:tc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LA</w:t>
            </w:r>
          </w:p>
        </w:tc>
        <w:tc>
          <w:tcPr>
            <w:tcW w:type="dxa" w:w="1368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Amethyst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Amplification / exalted sight</w:t>
            </w:r>
          </w:p>
        </w:tc>
      </w:tr>
      <w:tr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7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Mercury</w:t>
            </w:r>
          </w:p>
        </w:tc>
        <w:tc>
          <w:tcPr>
            <w:tcW w:type="dxa" w:w="1440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Laodicea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Pituitary / third-eye governance</w:t>
            </w:r>
          </w:p>
        </w:tc>
        <w:tc>
          <w:tcPr>
            <w:tcW w:type="dxa" w:w="792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TI</w:t>
            </w:r>
          </w:p>
        </w:tc>
        <w:tc>
          <w:tcPr>
            <w:tcW w:type="dxa" w:w="1368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Diamond</w:t>
            </w:r>
          </w:p>
        </w:tc>
        <w:tc>
          <w:tcPr>
            <w:tcW w:type="dxa" w:w="2376"/>
            <w:tcMar>
              <w:top w:w="70" w:type="dxa"/>
              <w:start w:w="80" w:type="dxa"/>
              <w:bottom w:w="70" w:type="dxa"/>
              <w:end w:w="80" w:type="dxa"/>
            </w:tcMar>
            <w:vAlign w:val="center"/>
          </w:tcPr>
          <w:p>
            <w:r>
              <w:t>Integration / crozier closure / oneness-point</w:t>
            </w:r>
          </w:p>
        </w:tc>
      </w:tr>
    </w:tbl>
    <w:p/>
    <w:p>
      <w:pPr>
        <w:pStyle w:val="SectionLux"/>
      </w:pPr>
      <w:r>
        <w:t>D. Inheritance rule</w:t>
      </w:r>
    </w:p>
    <w:p>
      <w:r>
        <w:t>Every later doctrine, product, visualization, scorecard, app screen, ritual sequence, or engineering metaphor must inherit upward from the corrected sevenfold ladder and the corrected twelve-axis support structure. No elaboration may overwrite the canonical meanings of the axes or the normalized crozier correspondences. New layers are allowed only as explicit projections or implementation layers.</w:t>
      </w:r>
    </w:p>
    <w:p>
      <w:pPr>
        <w:pStyle w:val="SectionLux"/>
      </w:pPr>
      <w:r>
        <w:t>II. Project-Level Extrapolations</w:t>
      </w:r>
    </w:p>
    <w:p>
      <w:r>
        <w:t>The following material is coherent with the present canon but should be classed as project-level extrapolation rather than formalized monograph doctrine. This preserves symbolic continuity while clearly marking what has been stabilized and what remains a design, liturgical, or engineering development track.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rPr>
          <w:tblHeader w:val="true"/>
        </w:trPr>
        <w:tc>
          <w:tcPr>
            <w:tcW w:type="dxa" w:w="2880"/>
            <w:shd w:fill="EDEDED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</w:rPr>
              <w:t>Layer</w:t>
            </w:r>
          </w:p>
        </w:tc>
        <w:tc>
          <w:tcPr>
            <w:tcW w:type="dxa" w:w="1728"/>
            <w:shd w:fill="EDEDED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448"/>
            <w:shd w:fill="EDEDED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</w:rPr>
              <w:t>Inheritance anchor</w:t>
            </w:r>
          </w:p>
        </w:tc>
        <w:tc>
          <w:tcPr>
            <w:tcW w:type="dxa" w:w="2880"/>
            <w:shd w:fill="EDEDED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</w:rPr>
              <w:t>Use</w:t>
            </w:r>
          </w:p>
        </w:tc>
      </w:tr>
      <w:tr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Non-orthogonal script system</w:t>
            </w:r>
          </w:p>
        </w:tc>
        <w:tc>
          <w:tcPr>
            <w:tcW w:type="dxa" w:w="17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Project extrapolation</w:t>
            </w:r>
          </w:p>
        </w:tc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HVCF-7 rise, articulation, closure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Codex lettering, headings, glyph studies, sacred inscriptions</w:t>
            </w:r>
          </w:p>
        </w:tc>
      </w:tr>
      <w:tr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Ritual protocol stack</w:t>
            </w:r>
          </w:p>
        </w:tc>
        <w:tc>
          <w:tcPr>
            <w:tcW w:type="dxa" w:w="17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Project extrapolation</w:t>
            </w:r>
          </w:p>
        </w:tc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Planetary-endocrine ladder + attention/practice mapping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Daily, weekly, architectural, or group ritual sequencing</w:t>
            </w:r>
          </w:p>
        </w:tc>
      </w:tr>
      <w:tr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App/interface crozier navigation</w:t>
            </w:r>
          </w:p>
        </w:tc>
        <w:tc>
          <w:tcPr>
            <w:tcW w:type="dxa" w:w="17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Project extrapolation</w:t>
            </w:r>
          </w:p>
        </w:tc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Projection-stable sevenfold navigation model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Dashboards, coherence journeys, doctrinal maps, session closure</w:t>
            </w:r>
          </w:p>
        </w:tc>
      </w:tr>
      <w:tr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Film / visual-bible layer</w:t>
            </w:r>
          </w:p>
        </w:tc>
        <w:tc>
          <w:tcPr>
            <w:tcW w:type="dxa" w:w="17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Project extrapolation</w:t>
            </w:r>
          </w:p>
        </w:tc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Narrative ascent mirrors crozier law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Scene grammar, palette logic, title sequences, worldbuilding</w:t>
            </w:r>
          </w:p>
        </w:tc>
      </w:tr>
      <w:tr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Goodhelm field manual layer</w:t>
            </w:r>
          </w:p>
        </w:tc>
        <w:tc>
          <w:tcPr>
            <w:tcW w:type="dxa" w:w="17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Project extrapolation</w:t>
            </w:r>
          </w:p>
        </w:tc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HVCF-12 design manual pathway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Artifact semantics, diagnostic vocabulary, manufacturing organization</w:t>
            </w:r>
          </w:p>
        </w:tc>
      </w:tr>
      <w:tr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Optics / photonics implementation layer</w:t>
            </w:r>
          </w:p>
        </w:tc>
        <w:tc>
          <w:tcPr>
            <w:tcW w:type="dxa" w:w="17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Speculative engineering layer</w:t>
            </w:r>
          </w:p>
        </w:tc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TTG + meta-alloy + nonlinear optics analogues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Photon-avalanche metaphors, cavity design, optical staging</w:t>
            </w:r>
          </w:p>
        </w:tc>
      </w:tr>
      <w:tr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Materials / architecture layer</w:t>
            </w:r>
          </w:p>
        </w:tc>
        <w:tc>
          <w:tcPr>
            <w:tcW w:type="dxa" w:w="17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Applied design layer</w:t>
            </w:r>
          </w:p>
        </w:tc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Sacred architecture and resilient architecture agenda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Pavilions, chambers, lattices, planning tools</w:t>
            </w:r>
          </w:p>
        </w:tc>
      </w:tr>
      <w:tr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Governance / doctrine matrix</w:t>
            </w:r>
          </w:p>
        </w:tc>
        <w:tc>
          <w:tcPr>
            <w:tcW w:type="dxa" w:w="17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Applied systems layer</w:t>
            </w:r>
          </w:p>
        </w:tc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HVCF-12 governance-capable state space</w:t>
            </w:r>
          </w:p>
        </w:tc>
        <w:tc>
          <w:tcPr>
            <w:tcW w:type="dxa" w:w="288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Decision rights, doctrine integrity, expansion sequencing</w:t>
            </w:r>
          </w:p>
        </w:tc>
      </w:tr>
    </w:tbl>
    <w:p>
      <w:pPr>
        <w:pStyle w:val="SubsectionLux"/>
      </w:pPr>
      <w:r>
        <w:t>A. Non-orthogonal script system</w:t>
      </w:r>
    </w:p>
    <w:p>
      <w:r>
        <w:t>Keep this as a script architecture appendix. The lawful sentence path should still move anchor → flow → articulation → coherence → branching → intensification → closure, but this remains a typographic and liturgical design system rather than a formal theorem of the monograph.</w:t>
      </w:r>
    </w:p>
    <w:p>
      <w:pPr>
        <w:pStyle w:val="SubsectionLux"/>
      </w:pPr>
      <w:r>
        <w:t>B. Ritual protocol stack</w:t>
      </w:r>
    </w:p>
    <w:p>
      <w:r>
        <w:t>Treat the seven-phase ritual cycle as a contemplative-practice protocol derived from the planetary-endocrine ladder and the monograph’s statement that the axes can map attention and practice. Present it as a disciplined devotional application, not as a scientific claim.</w:t>
      </w:r>
    </w:p>
    <w:p>
      <w:pPr>
        <w:pStyle w:val="SubsectionLux"/>
      </w:pPr>
      <w:r>
        <w:t>C. Goodhelm field manual</w:t>
      </w:r>
    </w:p>
    <w:p>
      <w:r>
        <w:t>Treat Goodhelm as the principal implementation program where HVCF-12 becomes artifact language, systems diagnosis, and product governance. This is strongly supported by the monograph’s design-manual and software-prototype next steps, but it is still a downstream manual, not the formal monograph itself.</w:t>
      </w:r>
    </w:p>
    <w:p>
      <w:pPr>
        <w:pStyle w:val="SubsectionLux"/>
      </w:pPr>
      <w:r>
        <w:t>D. App and interface logic</w:t>
      </w:r>
    </w:p>
    <w:p>
      <w:r>
        <w:t>The crozier navigation model is coherent as a software embodiment of the projection layer: Venus as center, Uranus as branching knowledge, Mercury as synthesis and closure. Mark it as an interface architecture proposal that inherits from the canon.</w:t>
      </w:r>
    </w:p>
    <w:p>
      <w:pPr>
        <w:pStyle w:val="SubsectionLux"/>
      </w:pPr>
      <w:r>
        <w:t>E. Film and visual-bible layer</w:t>
      </w:r>
    </w:p>
    <w:p>
      <w:r>
        <w:t>This layer fits the narrative and symbolic ambitions of the wider project. Keep it as a cinematic grammar keyed to density, motion, pressure, heart-turn, revelation, radiance, and closure. It belongs in a visual-bible or production manual.</w:t>
      </w:r>
    </w:p>
    <w:p>
      <w:pPr>
        <w:pStyle w:val="SubsectionLux"/>
      </w:pPr>
      <w:r>
        <w:t>F. Optics, photonics, and advanced materials</w:t>
      </w:r>
    </w:p>
    <w:p>
      <w:r>
        <w:t>Keep these sections explicitly labeled as speculative engineering analogues or experimental pathways. The source documents discuss meta-alloys, coherence substrates, and potential resonance environments, but they do not establish settled engineering performance claims.</w:t>
      </w:r>
    </w:p>
    <w:p>
      <w:pPr>
        <w:pStyle w:val="SectionLux"/>
      </w:pPr>
      <w:r>
        <w:t>III. Implementation Layers</w:t>
      </w:r>
    </w:p>
    <w:p>
      <w:r>
        <w:t>To make the corrected grimoire usable without projection drift, implementation should be staged. Each layer below translates the canon into a concrete workstream while preserving the difference between symbolic cartography, practical protocol, design manual, and research speculation.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rPr>
          <w:tblHeader w:val="true"/>
        </w:trPr>
        <w:tc>
          <w:tcPr>
            <w:tcW w:type="dxa" w:w="2448"/>
            <w:shd w:fill="DDEBF7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</w:rPr>
              <w:t>Implementation layer</w:t>
            </w:r>
          </w:p>
        </w:tc>
        <w:tc>
          <w:tcPr>
            <w:tcW w:type="dxa" w:w="7128"/>
            <w:shd w:fill="DDEBF7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1. Canon Layer</w:t>
            </w:r>
          </w:p>
        </w:tc>
        <w:tc>
          <w:tcPr>
            <w:tcW w:type="dxa" w:w="71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Freeze the corrected HVCF-7, HVCF-12, and planetary-endocrine ladder as the non-negotiable reference set for all future documents.</w:t>
            </w:r>
          </w:p>
        </w:tc>
      </w:tr>
      <w:tr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2. Appendix Layer</w:t>
            </w:r>
          </w:p>
        </w:tc>
        <w:tc>
          <w:tcPr>
            <w:tcW w:type="dxa" w:w="71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Move script architecture, ritual stack, field phrases, and invocation library into appendices labeled as derived liturgical and design materials.</w:t>
            </w:r>
          </w:p>
        </w:tc>
      </w:tr>
      <w:tr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3. Design Manual Layer</w:t>
            </w:r>
          </w:p>
        </w:tc>
        <w:tc>
          <w:tcPr>
            <w:tcW w:type="dxa" w:w="71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Produce a companion manual for Goodhelm governance, sacred architecture, artifact semantics, and crozier plate standards.</w:t>
            </w:r>
          </w:p>
        </w:tc>
      </w:tr>
      <w:tr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4. Scorecard Layer</w:t>
            </w:r>
          </w:p>
        </w:tc>
        <w:tc>
          <w:tcPr>
            <w:tcW w:type="dxa" w:w="71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Build HVCF-12 scoring tools for organizations, programs, built environments, and product systems using the monograph’s operational questions.</w:t>
            </w:r>
          </w:p>
        </w:tc>
      </w:tr>
      <w:tr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5. Interface Layer</w:t>
            </w:r>
          </w:p>
        </w:tc>
        <w:tc>
          <w:tcPr>
            <w:tcW w:type="dxa" w:w="71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Prototype the crozier-based app and dashboard structure with Venus as center, Mercury as closure, and Uranus as branch-navigation.</w:t>
            </w:r>
          </w:p>
        </w:tc>
      </w:tr>
      <w:tr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6. Research Layer</w:t>
            </w:r>
          </w:p>
        </w:tc>
        <w:tc>
          <w:tcPr>
            <w:tcW w:type="dxa" w:w="71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Separate empirical pilot protocols from symbolic language. Candidate tracks include physiological coherence readings, architectural environment studies, and resonance-oriented materials experiments.</w:t>
            </w:r>
          </w:p>
        </w:tc>
      </w:tr>
      <w:tr>
        <w:tc>
          <w:tcPr>
            <w:tcW w:type="dxa" w:w="244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7. Production Layer</w:t>
            </w:r>
          </w:p>
        </w:tc>
        <w:tc>
          <w:tcPr>
            <w:tcW w:type="dxa" w:w="712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For codex, film, and visual design, translate the canon into scene boards, title hierarchies, color-function palettes, and repeatable plate templates.</w:t>
            </w:r>
          </w:p>
        </w:tc>
      </w:tr>
    </w:tbl>
    <w:p>
      <w:pPr>
        <w:pStyle w:val="SectionLux"/>
      </w:pPr>
      <w:r>
        <w:t>IV. Corrected framing for the master grimoire</w:t>
      </w:r>
    </w:p>
    <w:p>
      <w:r>
        <w:t>The most stable way to name the revised document is: “The HVCF Master Grimoire: Corrected Canon, Project-Level Extrapolations, and Implementation Layers.” This prevents confusion between the formal monograph core and the larger operational universe that now inherits from it.</w:t>
      </w:r>
    </w:p>
    <w:p>
      <w:pPr>
        <w:pStyle w:val="SectionLux"/>
      </w:pPr>
      <w:r>
        <w:t>V. Recommended insertion language for the monograph</w:t>
      </w:r>
    </w:p>
    <w:p>
      <w:pPr>
        <w:spacing w:after="80"/>
        <w:ind w:left="504" w:right="288"/>
      </w:pPr>
      <w:r>
        <w:rPr>
          <w:i/>
        </w:rPr>
        <w:t>This addendum does not replace the formal monograph. It clarifies the corrected canon and organizes downstream developments by status.</w:t>
      </w:r>
    </w:p>
    <w:p>
      <w:pPr>
        <w:spacing w:after="80"/>
        <w:ind w:left="504" w:right="288"/>
      </w:pPr>
      <w:r>
        <w:rPr>
          <w:i/>
        </w:rPr>
        <w:t>HVCF-7 remains the primary projection layer that stabilizes terminology across later elaborations.</w:t>
      </w:r>
    </w:p>
    <w:p>
      <w:pPr>
        <w:spacing w:after="80"/>
        <w:ind w:left="504" w:right="288"/>
      </w:pPr>
      <w:r>
        <w:rPr>
          <w:i/>
        </w:rPr>
        <w:t>HVCF-12 remains the governance-capable systems extension whose added axes are κ, λ, μ, ν, and ξ as defined in the monograph.</w:t>
      </w:r>
    </w:p>
    <w:p>
      <w:pPr>
        <w:spacing w:after="80"/>
        <w:ind w:left="504" w:right="288"/>
      </w:pPr>
      <w:r>
        <w:rPr>
          <w:i/>
        </w:rPr>
        <w:t>Script systems, ritual stacks, app logic, Goodhelm manuals, cinematic grammars, and optics/materials concepts are retained as lawful inheritances, but they are classified as project-level extrapolations or implementation layers unless and until separately formalized.</w:t>
      </w:r>
    </w:p>
    <w:p>
      <w:pPr>
        <w:pStyle w:val="SectionLux"/>
      </w:pPr>
      <w:r>
        <w:t>VI. Editorial verdict</w:t>
      </w:r>
    </w:p>
    <w:p>
      <w:r>
        <w:t>With these corrections, the draft becomes coherent enough to serve as a project-wide reference document. The key gain is not merely consistency but classification: canon is held steady, derivations remain fertile, and implementation can proceed without conflating symbolic doctrine, design practice, and engineering speculation.</w:t>
      </w:r>
    </w:p>
    <w:sectPr w:rsidR="00FC693F" w:rsidRPr="0006063C" w:rsidSect="00034616">
      <w:pgSz w:w="12240" w:h="15840"/>
      <w:pgMar w:top="1152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Lux">
    <w:name w:val="Title Lux"/>
    <w:basedOn w:val="Normal"/>
    <w:pPr>
      <w:spacing w:before="0" w:after="120"/>
    </w:pPr>
    <w:rPr>
      <w:rFonts w:ascii="Times New Roman" w:hAnsi="Times New Roman"/>
      <w:b/>
      <w:i w:val="0"/>
      <w:color w:val="333333"/>
      <w:sz w:val="44"/>
    </w:rPr>
  </w:style>
  <w:style w:type="paragraph" w:customStyle="1" w:styleId="SubtitleLux">
    <w:name w:val="Subtitle Lux"/>
    <w:basedOn w:val="Normal"/>
    <w:pPr>
      <w:spacing w:before="0" w:after="200"/>
    </w:pPr>
    <w:rPr>
      <w:rFonts w:ascii="Times New Roman" w:hAnsi="Times New Roman"/>
      <w:b w:val="0"/>
      <w:i/>
      <w:color w:val="5A5A5A"/>
      <w:sz w:val="22"/>
    </w:rPr>
  </w:style>
  <w:style w:type="paragraph" w:customStyle="1" w:styleId="SectionLux">
    <w:name w:val="Section Lux"/>
    <w:basedOn w:val="Normal"/>
    <w:pPr>
      <w:spacing w:before="240" w:after="80"/>
    </w:pPr>
    <w:rPr>
      <w:rFonts w:ascii="Times New Roman" w:hAnsi="Times New Roman"/>
      <w:b/>
      <w:i w:val="0"/>
      <w:color w:val="404040"/>
      <w:sz w:val="28"/>
    </w:rPr>
  </w:style>
  <w:style w:type="paragraph" w:customStyle="1" w:styleId="SubsectionLux">
    <w:name w:val="Subsection Lux"/>
    <w:basedOn w:val="Normal"/>
    <w:pPr>
      <w:spacing w:before="160" w:after="40"/>
    </w:pPr>
    <w:rPr>
      <w:rFonts w:ascii="Times New Roman" w:hAnsi="Times New Roman"/>
      <w:b/>
      <w:i w:val="0"/>
      <w:color w:val="404040"/>
      <w:sz w:val="24"/>
    </w:rPr>
  </w:style>
  <w:style w:type="paragraph" w:customStyle="1" w:styleId="SmallCapsNote">
    <w:name w:val="Small Caps Note"/>
    <w:basedOn w:val="Normal"/>
    <w:pPr>
      <w:spacing w:before="60" w:after="120"/>
    </w:pPr>
    <w:rPr>
      <w:rFonts w:ascii="Times New Roman" w:hAnsi="Times New Roman"/>
      <w:b w:val="0"/>
      <w:i w:val="0"/>
      <w:color w:val="64646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